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187757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187757" w:rsidP="006E1D2C">
      <w:pPr>
        <w:ind w:right="283"/>
        <w:jc w:val="center"/>
        <w:rPr>
          <w:sz w:val="18"/>
          <w:szCs w:val="18"/>
          <w:lang w:val="en-US"/>
        </w:rPr>
      </w:pPr>
      <w:r w:rsidRPr="0018775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6E1D2C" w:rsidP="000F7111">
            <w:pPr>
              <w:widowControl w:val="0"/>
              <w:snapToGrid w:val="0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>06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6E1D2C" w:rsidRPr="008C2C67">
              <w:rPr>
                <w:sz w:val="26"/>
                <w:szCs w:val="26"/>
              </w:rPr>
              <w:t>№ 5/</w:t>
            </w:r>
            <w:r w:rsidR="000B7767" w:rsidRPr="008C2C67">
              <w:rPr>
                <w:sz w:val="26"/>
                <w:szCs w:val="26"/>
              </w:rPr>
              <w:t>3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0B7767" w:rsidRPr="008C2C67">
        <w:rPr>
          <w:b/>
          <w:sz w:val="25"/>
          <w:szCs w:val="25"/>
        </w:rPr>
        <w:t>Гильфановой Зили Илшатовны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A365D7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7F70AC" w:rsidRPr="008C2C67">
        <w:rPr>
          <w:b/>
          <w:sz w:val="25"/>
          <w:szCs w:val="25"/>
        </w:rPr>
        <w:t>Старошешминское</w:t>
      </w:r>
      <w:r w:rsidRPr="008C2C67">
        <w:rPr>
          <w:b/>
          <w:sz w:val="25"/>
          <w:szCs w:val="25"/>
        </w:rPr>
        <w:t xml:space="preserve"> сельское поселение»</w:t>
      </w:r>
      <w:r w:rsidRPr="008C2C67">
        <w:rPr>
          <w:sz w:val="25"/>
          <w:szCs w:val="25"/>
        </w:rPr>
        <w:t xml:space="preserve"> </w:t>
      </w:r>
      <w:r w:rsidR="00A365D7">
        <w:rPr>
          <w:b/>
          <w:sz w:val="26"/>
          <w:szCs w:val="26"/>
        </w:rPr>
        <w:t>Нижнекамского муниципального района</w:t>
      </w:r>
      <w:r w:rsidR="00A365D7">
        <w:rPr>
          <w:sz w:val="26"/>
          <w:szCs w:val="26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0B7767" w:rsidRPr="008C2C67">
        <w:rPr>
          <w:b/>
          <w:sz w:val="25"/>
          <w:szCs w:val="25"/>
        </w:rPr>
        <w:t>3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>муниципального образования «</w:t>
      </w:r>
      <w:r w:rsidR="007F70AC" w:rsidRPr="008C2C67">
        <w:rPr>
          <w:sz w:val="25"/>
          <w:szCs w:val="25"/>
        </w:rPr>
        <w:t>Старошешминское</w:t>
      </w:r>
      <w:r w:rsidR="006E1D2C" w:rsidRPr="008C2C67">
        <w:rPr>
          <w:sz w:val="25"/>
          <w:szCs w:val="25"/>
        </w:rPr>
        <w:t xml:space="preserve"> сельское поселение» 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  четвертого  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 </w:t>
      </w:r>
      <w:r w:rsidR="000F7111" w:rsidRPr="008C2C67">
        <w:rPr>
          <w:sz w:val="25"/>
          <w:szCs w:val="25"/>
        </w:rPr>
        <w:t xml:space="preserve"> </w:t>
      </w:r>
      <w:r w:rsidR="000B7767" w:rsidRPr="008C2C67">
        <w:rPr>
          <w:b/>
          <w:sz w:val="25"/>
          <w:szCs w:val="25"/>
        </w:rPr>
        <w:t>Гильфановой Зили Илшатовны</w:t>
      </w:r>
      <w:r w:rsidRPr="008C2C67">
        <w:rPr>
          <w:sz w:val="25"/>
          <w:szCs w:val="25"/>
        </w:rPr>
        <w:t xml:space="preserve">, </w:t>
      </w:r>
      <w:r w:rsidR="006E1D2C" w:rsidRPr="008C2C67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7F70AC" w:rsidRPr="008C2C67">
        <w:rPr>
          <w:sz w:val="25"/>
          <w:szCs w:val="25"/>
        </w:rPr>
        <w:t>Нижнекамским местным отделением Татарстанского регионального отделения политической партии «</w:t>
      </w:r>
      <w:r w:rsidR="000B7767" w:rsidRPr="008C2C67">
        <w:rPr>
          <w:sz w:val="25"/>
          <w:szCs w:val="25"/>
        </w:rPr>
        <w:t>КОММУНИСТИЧЕСКАЯ ПАРТИЯ РОССИЙСКОЙ ФЕДЕРАЦИИ</w:t>
      </w:r>
      <w:r w:rsidR="007F70AC" w:rsidRPr="008C2C67">
        <w:rPr>
          <w:sz w:val="25"/>
          <w:szCs w:val="25"/>
        </w:rPr>
        <w:t>»</w:t>
      </w:r>
      <w:r w:rsidR="00491B4D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0B7767" w:rsidRPr="008C2C67">
        <w:rPr>
          <w:sz w:val="25"/>
          <w:szCs w:val="25"/>
        </w:rPr>
        <w:t>3</w:t>
      </w:r>
      <w:r w:rsidR="00044D60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0B7767" w:rsidRPr="008C2C67">
        <w:rPr>
          <w:b/>
          <w:sz w:val="25"/>
          <w:szCs w:val="25"/>
        </w:rPr>
        <w:t>Гильфановой Зили Илшатовны</w:t>
      </w:r>
      <w:r w:rsidR="000B7767" w:rsidRPr="008C2C67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«</w:t>
      </w:r>
      <w:r w:rsidR="007F70AC" w:rsidRPr="008C2C67">
        <w:rPr>
          <w:sz w:val="25"/>
          <w:szCs w:val="25"/>
        </w:rPr>
        <w:t>Старошешминское</w:t>
      </w:r>
      <w:r w:rsidR="006E1D2C" w:rsidRPr="008C2C67">
        <w:rPr>
          <w:sz w:val="25"/>
          <w:szCs w:val="25"/>
        </w:rPr>
        <w:t xml:space="preserve"> сельское поселение» 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0B7767" w:rsidRPr="008C2C67">
        <w:rPr>
          <w:sz w:val="25"/>
          <w:szCs w:val="25"/>
        </w:rPr>
        <w:t>, выдвинутой</w:t>
      </w:r>
      <w:r w:rsidR="00491B4D" w:rsidRPr="008C2C67">
        <w:rPr>
          <w:sz w:val="25"/>
          <w:szCs w:val="25"/>
        </w:rPr>
        <w:t xml:space="preserve"> </w:t>
      </w:r>
      <w:r w:rsidR="000B7767" w:rsidRPr="008C2C67">
        <w:rPr>
          <w:sz w:val="25"/>
          <w:szCs w:val="25"/>
        </w:rPr>
        <w:t>Нижнекамским местным отделением Татарстанского регионального отделения политической партии «КОММУНИСТИЧЕСКАЯ ПАРТИЯ РОССИЙСКОЙ ФЕДЕРАЦИИ</w:t>
      </w:r>
      <w:r w:rsidR="00024BA3">
        <w:rPr>
          <w:sz w:val="25"/>
          <w:szCs w:val="25"/>
        </w:rPr>
        <w:t>»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0B7767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>, соответствуют требованиям статьей 35, 39, 45 Избирательного кодекса Республики Татарстан.</w:t>
      </w:r>
    </w:p>
    <w:p w:rsidR="00B95FD3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1. Зарегистрировать</w:t>
      </w:r>
      <w:r w:rsidR="006E1D2C" w:rsidRPr="008C2C67">
        <w:rPr>
          <w:sz w:val="25"/>
          <w:szCs w:val="25"/>
        </w:rPr>
        <w:t xml:space="preserve"> </w:t>
      </w:r>
      <w:r w:rsidR="000B7767" w:rsidRPr="008C2C67">
        <w:rPr>
          <w:b/>
          <w:sz w:val="25"/>
          <w:szCs w:val="25"/>
        </w:rPr>
        <w:t>Гильфанову Зилю Илшатовну</w:t>
      </w:r>
      <w:r w:rsidR="007F70AC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муниципального образования «</w:t>
      </w:r>
      <w:r w:rsidR="007F70AC" w:rsidRPr="008C2C67">
        <w:rPr>
          <w:sz w:val="25"/>
          <w:szCs w:val="25"/>
        </w:rPr>
        <w:t>Старошешминское</w:t>
      </w:r>
      <w:r w:rsidR="006E1D2C" w:rsidRPr="008C2C67">
        <w:rPr>
          <w:sz w:val="25"/>
          <w:szCs w:val="25"/>
        </w:rPr>
        <w:t xml:space="preserve"> сельское поселение»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 выдвинуто</w:t>
      </w:r>
      <w:r w:rsidR="000B7767" w:rsidRPr="008C2C67">
        <w:rPr>
          <w:sz w:val="25"/>
          <w:szCs w:val="25"/>
        </w:rPr>
        <w:t>й</w:t>
      </w:r>
      <w:r w:rsidRPr="008C2C67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 xml:space="preserve">Нижнекамским </w:t>
      </w:r>
      <w:r w:rsidR="000B7767" w:rsidRPr="008C2C67">
        <w:rPr>
          <w:sz w:val="25"/>
          <w:szCs w:val="25"/>
        </w:rPr>
        <w:t>местным отделением Татарстанского региональног</w:t>
      </w:r>
      <w:r w:rsidR="00024BA3">
        <w:rPr>
          <w:sz w:val="25"/>
          <w:szCs w:val="25"/>
        </w:rPr>
        <w:t xml:space="preserve">о отделения политической партии </w:t>
      </w:r>
      <w:r w:rsidR="000B7767" w:rsidRPr="008C2C67">
        <w:rPr>
          <w:sz w:val="25"/>
          <w:szCs w:val="25"/>
        </w:rPr>
        <w:t>«КОММУНИСТИЧЕСКАЯ ПАРТИЯ РОССИЙСКОЙ ФЕДЕРАЦИИ</w:t>
      </w:r>
      <w:r w:rsidR="00024BA3">
        <w:rPr>
          <w:sz w:val="25"/>
          <w:szCs w:val="25"/>
        </w:rPr>
        <w:t>»</w:t>
      </w:r>
      <w:r w:rsidR="000B7767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0B7767" w:rsidRPr="008C2C67">
        <w:rPr>
          <w:sz w:val="25"/>
          <w:szCs w:val="25"/>
        </w:rPr>
        <w:t>3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6E1D2C" w:rsidRPr="008C2C67">
        <w:rPr>
          <w:sz w:val="25"/>
          <w:szCs w:val="25"/>
        </w:rPr>
        <w:t>06 августа</w:t>
      </w:r>
      <w:r w:rsidR="00990E80" w:rsidRPr="008C2C67">
        <w:rPr>
          <w:sz w:val="25"/>
          <w:szCs w:val="25"/>
        </w:rPr>
        <w:t xml:space="preserve"> 2021 года в </w:t>
      </w:r>
      <w:r w:rsidR="006E1D2C" w:rsidRPr="008C2C67">
        <w:rPr>
          <w:sz w:val="25"/>
          <w:szCs w:val="25"/>
        </w:rPr>
        <w:t>16</w:t>
      </w:r>
      <w:r w:rsidR="00990E80" w:rsidRPr="008C2C67">
        <w:rPr>
          <w:sz w:val="25"/>
          <w:szCs w:val="25"/>
        </w:rPr>
        <w:t xml:space="preserve"> часов </w:t>
      </w:r>
      <w:r w:rsidR="000B7767" w:rsidRPr="008C2C67">
        <w:rPr>
          <w:sz w:val="25"/>
          <w:szCs w:val="25"/>
        </w:rPr>
        <w:t>5</w:t>
      </w:r>
      <w:r w:rsidR="007F70AC" w:rsidRPr="008C2C67">
        <w:rPr>
          <w:sz w:val="25"/>
          <w:szCs w:val="25"/>
        </w:rPr>
        <w:t xml:space="preserve">5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0B7767" w:rsidRPr="008C2C67">
        <w:rPr>
          <w:b/>
          <w:sz w:val="25"/>
          <w:szCs w:val="25"/>
        </w:rPr>
        <w:t>Гильфановой Зиле</w:t>
      </w:r>
      <w:r w:rsidR="008C2C67" w:rsidRPr="008C2C67">
        <w:rPr>
          <w:b/>
          <w:sz w:val="25"/>
          <w:szCs w:val="25"/>
        </w:rPr>
        <w:t xml:space="preserve"> </w:t>
      </w:r>
      <w:r w:rsidR="000B7767" w:rsidRPr="008C2C67">
        <w:rPr>
          <w:b/>
          <w:sz w:val="25"/>
          <w:szCs w:val="25"/>
        </w:rPr>
        <w:t>Илшатовне</w:t>
      </w:r>
      <w:r w:rsidR="000B7767" w:rsidRPr="008C2C67">
        <w:rPr>
          <w:rFonts w:cs="Times New Roman"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F89" w:rsidRDefault="00087F89" w:rsidP="00850F49">
      <w:r>
        <w:separator/>
      </w:r>
    </w:p>
  </w:endnote>
  <w:endnote w:type="continuationSeparator" w:id="1">
    <w:p w:rsidR="00087F89" w:rsidRDefault="00087F89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F89" w:rsidRDefault="00087F89" w:rsidP="00850F49">
      <w:r>
        <w:separator/>
      </w:r>
    </w:p>
  </w:footnote>
  <w:footnote w:type="continuationSeparator" w:id="1">
    <w:p w:rsidR="00087F89" w:rsidRDefault="00087F89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evenAndOddHeaders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44D60"/>
    <w:rsid w:val="00076D85"/>
    <w:rsid w:val="00087F89"/>
    <w:rsid w:val="000B7767"/>
    <w:rsid w:val="000F7111"/>
    <w:rsid w:val="00187757"/>
    <w:rsid w:val="003721A1"/>
    <w:rsid w:val="00406A95"/>
    <w:rsid w:val="00491B4D"/>
    <w:rsid w:val="004F164D"/>
    <w:rsid w:val="0052007B"/>
    <w:rsid w:val="00526FBD"/>
    <w:rsid w:val="005669C3"/>
    <w:rsid w:val="005D7975"/>
    <w:rsid w:val="005F3D91"/>
    <w:rsid w:val="006C644A"/>
    <w:rsid w:val="006E1D2C"/>
    <w:rsid w:val="007C57A0"/>
    <w:rsid w:val="007F70AC"/>
    <w:rsid w:val="008254C5"/>
    <w:rsid w:val="00850F49"/>
    <w:rsid w:val="008673C8"/>
    <w:rsid w:val="008C2C67"/>
    <w:rsid w:val="008D1702"/>
    <w:rsid w:val="00905A10"/>
    <w:rsid w:val="0096187A"/>
    <w:rsid w:val="00990E80"/>
    <w:rsid w:val="009A0765"/>
    <w:rsid w:val="00A31D33"/>
    <w:rsid w:val="00A365D7"/>
    <w:rsid w:val="00AC4161"/>
    <w:rsid w:val="00B13BB0"/>
    <w:rsid w:val="00B240E6"/>
    <w:rsid w:val="00B91A0E"/>
    <w:rsid w:val="00B95FD3"/>
    <w:rsid w:val="00BE4029"/>
    <w:rsid w:val="00DC2570"/>
    <w:rsid w:val="00E1475F"/>
    <w:rsid w:val="00E71CC8"/>
    <w:rsid w:val="00F4560C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16</cp:revision>
  <cp:lastPrinted>2021-08-10T16:09:00Z</cp:lastPrinted>
  <dcterms:created xsi:type="dcterms:W3CDTF">2015-07-15T15:00:00Z</dcterms:created>
  <dcterms:modified xsi:type="dcterms:W3CDTF">2021-08-10T16:09:00Z</dcterms:modified>
</cp:coreProperties>
</file>